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6D5C2D93" w:rsidR="00420A38" w:rsidRPr="002F0B57" w:rsidRDefault="00420A38" w:rsidP="000049D8">
      <w:pPr>
        <w:pStyle w:val="Header"/>
        <w:tabs>
          <w:tab w:val="clear" w:pos="9639"/>
          <w:tab w:val="right" w:pos="5954"/>
        </w:tabs>
        <w:spacing w:after="240"/>
        <w:jc w:val="right"/>
        <w:rPr>
          <w:rFonts w:ascii="Calibri" w:hAnsi="Calibri"/>
          <w:lang w:val="sv-SE"/>
        </w:rPr>
      </w:pPr>
      <w:r w:rsidRPr="002F0B57">
        <w:rPr>
          <w:rFonts w:ascii="Calibri" w:hAnsi="Calibri"/>
          <w:lang w:val="sv-SE"/>
        </w:rPr>
        <w:t>Input paper</w:t>
      </w:r>
      <w:r w:rsidR="00037DF4" w:rsidRPr="002F0B57">
        <w:rPr>
          <w:rFonts w:ascii="Calibri" w:hAnsi="Calibri"/>
          <w:lang w:val="sv-SE"/>
        </w:rPr>
        <w:t xml:space="preserve">: </w:t>
      </w:r>
      <w:r w:rsidRPr="007A395D">
        <w:rPr>
          <w:rStyle w:val="FootnoteReference"/>
          <w:rFonts w:ascii="Calibri" w:hAnsi="Calibri"/>
          <w:sz w:val="22"/>
          <w:vertAlign w:val="superscript"/>
        </w:rPr>
        <w:footnoteReference w:id="1"/>
      </w:r>
      <w:r w:rsidR="000049D8" w:rsidRPr="002F0B57">
        <w:rPr>
          <w:rFonts w:ascii="Calibri" w:hAnsi="Calibri"/>
          <w:lang w:val="sv-SE"/>
        </w:rPr>
        <w:t xml:space="preserve">  </w:t>
      </w:r>
      <w:r w:rsidR="001D5CD7">
        <w:rPr>
          <w:rFonts w:ascii="Calibri" w:hAnsi="Calibri"/>
          <w:lang w:val="sv-SE"/>
        </w:rPr>
        <w:t>VTS4</w:t>
      </w:r>
      <w:r w:rsidR="00D63FA9">
        <w:rPr>
          <w:rFonts w:ascii="Calibri" w:hAnsi="Calibri"/>
          <w:lang w:val="sv-SE"/>
        </w:rPr>
        <w:t>7</w:t>
      </w:r>
      <w:r w:rsidRPr="002F0B57">
        <w:rPr>
          <w:rFonts w:ascii="Calibri" w:hAnsi="Calibri"/>
          <w:lang w:val="sv-SE"/>
        </w:rPr>
        <w:t>-</w:t>
      </w:r>
      <w:r w:rsidR="00592B73">
        <w:rPr>
          <w:rFonts w:ascii="Calibri" w:hAnsi="Calibri"/>
          <w:lang w:val="sv-SE"/>
        </w:rPr>
        <w:t>3.1.7</w:t>
      </w:r>
      <w:bookmarkStart w:id="0" w:name="_GoBack"/>
      <w:bookmarkEnd w:id="0"/>
    </w:p>
    <w:p w14:paraId="5A14DE03" w14:textId="77777777" w:rsidR="00BF32F0" w:rsidRPr="002F0B57" w:rsidRDefault="00BF32F0" w:rsidP="00F36489">
      <w:pPr>
        <w:pStyle w:val="BodyText"/>
        <w:rPr>
          <w:lang w:val="sv-SE"/>
        </w:rPr>
      </w:pPr>
    </w:p>
    <w:p w14:paraId="22E94D0E" w14:textId="77777777" w:rsidR="00D019CE" w:rsidRPr="002F0B57" w:rsidRDefault="00D019CE" w:rsidP="00F36489">
      <w:pPr>
        <w:pStyle w:val="BodyText"/>
        <w:rPr>
          <w:lang w:val="sv-SE"/>
        </w:rPr>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25823D1" w:rsidR="0080294B" w:rsidRPr="007A395D" w:rsidRDefault="00D83C11" w:rsidP="00F36489">
      <w:pPr>
        <w:pStyle w:val="BodyText"/>
        <w:rPr>
          <w:b/>
        </w:rPr>
      </w:pPr>
      <w:sdt>
        <w:sdtPr>
          <w:rPr>
            <w:b/>
          </w:rPr>
          <w:id w:val="1549564605"/>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ARM</w:t>
      </w:r>
      <w:r w:rsidR="00037DF4" w:rsidRPr="007A395D">
        <w:tab/>
      </w:r>
      <w:r w:rsidR="00127DB0">
        <w:tab/>
      </w:r>
      <w:sdt>
        <w:sdtPr>
          <w:rPr>
            <w:b/>
          </w:rPr>
          <w:id w:val="311450454"/>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ENG</w:t>
      </w:r>
      <w:r w:rsidR="0080294B" w:rsidRPr="007A395D">
        <w:tab/>
      </w:r>
      <w:r w:rsidR="0080294B" w:rsidRPr="007A395D">
        <w:tab/>
      </w:r>
      <w:sdt>
        <w:sdtPr>
          <w:rPr>
            <w:b/>
          </w:rPr>
          <w:id w:val="-1829973308"/>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sdt>
        <w:sdtPr>
          <w:rPr>
            <w:b/>
          </w:rPr>
          <w:id w:val="-353507254"/>
          <w14:checkbox>
            <w14:checked w14:val="1"/>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Input</w:t>
      </w:r>
    </w:p>
    <w:p w14:paraId="0BC79547" w14:textId="10783966" w:rsidR="0080294B" w:rsidRPr="007A395D" w:rsidRDefault="00D83C11" w:rsidP="00F36489">
      <w:pPr>
        <w:pStyle w:val="BodyText"/>
      </w:pPr>
      <w:sdt>
        <w:sdtPr>
          <w:rPr>
            <w:b/>
          </w:rPr>
          <w:id w:val="-1363662927"/>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ENAV</w:t>
      </w:r>
      <w:r w:rsidR="00592B73">
        <w:tab/>
      </w:r>
      <w:r w:rsidR="0080294B" w:rsidRPr="007A395D">
        <w:rPr>
          <w:b/>
        </w:rPr>
        <w:tab/>
      </w:r>
      <w:sdt>
        <w:sdtPr>
          <w:rPr>
            <w:b/>
          </w:rPr>
          <w:id w:val="-1658915245"/>
          <w14:checkbox>
            <w14:checked w14:val="1"/>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037DF4" w:rsidRPr="007A395D">
        <w:tab/>
      </w:r>
      <w:r w:rsidR="00037DF4" w:rsidRPr="007A395D">
        <w:tab/>
      </w:r>
      <w:r w:rsidR="00127DB0">
        <w:tab/>
      </w:r>
      <w:sdt>
        <w:sdtPr>
          <w:rPr>
            <w:b/>
          </w:rPr>
          <w:id w:val="-882938137"/>
          <w14:checkbox>
            <w14:checked w14:val="0"/>
            <w14:checkedState w14:val="2612" w14:font="MS Gothic"/>
            <w14:uncheckedState w14:val="2610" w14:font="MS Gothic"/>
          </w14:checkbox>
        </w:sdtPr>
        <w:sdtEndPr/>
        <w:sdtContent>
          <w:r w:rsidR="001D5CD7">
            <w:rPr>
              <w:rFonts w:ascii="MS Gothic" w:eastAsia="MS Gothic" w:hAnsi="MS Gothic" w:hint="eastAsia"/>
              <w:b/>
            </w:rPr>
            <w:t>☐</w:t>
          </w:r>
        </w:sdtContent>
      </w:sdt>
      <w:r w:rsidR="0080294B" w:rsidRPr="007A395D">
        <w:t xml:space="preserve">  Information</w:t>
      </w:r>
    </w:p>
    <w:p w14:paraId="3E1C02C4" w14:textId="77777777" w:rsidR="0080294B" w:rsidRPr="007A395D" w:rsidRDefault="0080294B" w:rsidP="00F36489">
      <w:pPr>
        <w:pStyle w:val="BodyText"/>
      </w:pPr>
    </w:p>
    <w:p w14:paraId="4DD25FD9" w14:textId="70E6C77E"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592B73">
        <w:t>3</w:t>
      </w:r>
    </w:p>
    <w:p w14:paraId="4C646549" w14:textId="6EA0CFC8" w:rsidR="00A30183"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r>
      <w:r w:rsidR="00A30183">
        <w:t xml:space="preserve">New task but linked to task </w:t>
      </w:r>
      <w:r w:rsidR="00ED1E22">
        <w:t>1.</w:t>
      </w:r>
      <w:r w:rsidR="00A30183">
        <w:t>1.1</w:t>
      </w:r>
    </w:p>
    <w:p w14:paraId="5C721796" w14:textId="3F020AC8" w:rsidR="00677FAA" w:rsidRPr="007A395D" w:rsidRDefault="00677FAA" w:rsidP="00677FAA">
      <w:pPr>
        <w:pStyle w:val="BodyText"/>
      </w:pPr>
      <w:r>
        <w:t>Working Group</w:t>
      </w:r>
      <w:r>
        <w:tab/>
      </w:r>
      <w:r>
        <w:tab/>
      </w:r>
      <w:r>
        <w:tab/>
      </w:r>
      <w:r>
        <w:tab/>
      </w:r>
      <w:r>
        <w:tab/>
      </w:r>
      <w:r w:rsidR="00CC2DCC">
        <w:t xml:space="preserve">WG  </w:t>
      </w:r>
      <w:r w:rsidR="001D5CD7">
        <w:t>1</w:t>
      </w:r>
      <w:r>
        <w:t>…………………………</w:t>
      </w:r>
    </w:p>
    <w:p w14:paraId="01FC5420" w14:textId="40E129C2"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proofErr w:type="gramStart"/>
      <w:r w:rsidR="001D5CD7">
        <w:t>IHMA,</w:t>
      </w:r>
      <w:r w:rsidR="0080294B" w:rsidRPr="007A395D">
        <w:t>…</w:t>
      </w:r>
      <w:proofErr w:type="gramEnd"/>
      <w:r w:rsidR="00ED1E22">
        <w:t>……………………</w:t>
      </w:r>
      <w:r w:rsidR="0080294B" w:rsidRPr="007A395D">
        <w:t>…</w:t>
      </w:r>
    </w:p>
    <w:p w14:paraId="60BCC120" w14:textId="77777777" w:rsidR="0080294B" w:rsidRPr="007A395D" w:rsidRDefault="0080294B" w:rsidP="00F36489">
      <w:pPr>
        <w:pStyle w:val="BodyText"/>
      </w:pPr>
    </w:p>
    <w:p w14:paraId="4834080C" w14:textId="5771E4C8" w:rsidR="00A446C9" w:rsidRPr="005E355F" w:rsidRDefault="006946EC" w:rsidP="00F36489">
      <w:pPr>
        <w:pStyle w:val="Title"/>
        <w:rPr>
          <w:color w:val="0070C0"/>
        </w:rPr>
      </w:pPr>
      <w:r>
        <w:rPr>
          <w:color w:val="0070C0"/>
        </w:rPr>
        <w:t xml:space="preserve">Proposal for Urgent Revision of Guideline 1089 - </w:t>
      </w:r>
      <w:bookmarkStart w:id="1" w:name="_Hlk13761043"/>
      <w:r>
        <w:rPr>
          <w:color w:val="0070C0"/>
        </w:rPr>
        <w:t>Provision of Vessel Traffic Services (INS, TOS &amp; NAS)</w:t>
      </w:r>
      <w:bookmarkEnd w:id="1"/>
    </w:p>
    <w:p w14:paraId="0F258596" w14:textId="3354C09F" w:rsidR="00A446C9" w:rsidRPr="004D4B1B" w:rsidRDefault="00A446C9" w:rsidP="000E5BA9">
      <w:pPr>
        <w:pStyle w:val="Heading1"/>
      </w:pPr>
      <w:r w:rsidRPr="000E5BA9">
        <w:t>Summary</w:t>
      </w:r>
    </w:p>
    <w:p w14:paraId="40CDDFC1" w14:textId="064101B9" w:rsidR="007220F0" w:rsidRDefault="006946EC" w:rsidP="00822DF6">
      <w:pPr>
        <w:pStyle w:val="BodyText"/>
        <w:spacing w:after="0"/>
      </w:pPr>
      <w:r>
        <w:t xml:space="preserve">The revision of IMO Resolution A.857(20) – Guidelines for Vessel Traffic Services has progressed exceptionally </w:t>
      </w:r>
      <w:proofErr w:type="gramStart"/>
      <w:r>
        <w:t>well</w:t>
      </w:r>
      <w:proofErr w:type="gramEnd"/>
      <w:r>
        <w:t xml:space="preserve"> and the current draft was met with strong support at a recent IALA seminar held in St Germain 26-27 June 2019.  For many of the issues raised, there </w:t>
      </w:r>
      <w:r w:rsidR="00C60B9F">
        <w:t>will be</w:t>
      </w:r>
      <w:r>
        <w:t xml:space="preserve"> no requirement for any immediate change</w:t>
      </w:r>
      <w:r w:rsidR="00C60B9F">
        <w:t>s</w:t>
      </w:r>
      <w:r>
        <w:t xml:space="preserve"> to VTS policy</w:t>
      </w:r>
      <w:r w:rsidR="00C60B9F">
        <w:t>.  M</w:t>
      </w:r>
      <w:r>
        <w:t xml:space="preserve">ost of the current IALA documentation should remain valid and can be updated as part of the normal routine review process.  However, one area of significant change is </w:t>
      </w:r>
      <w:r w:rsidR="00822DF6">
        <w:t>in the concept of Types of Service.  Assuming the current IMO Resolution on Vessel Traffic Services is approved by the IMO Assembly, the current Guideline will be inconsistent with the new concepts and a revised version should be prepared for issue as soon as possible after the new IMO Resolution comes into force.</w:t>
      </w:r>
    </w:p>
    <w:p w14:paraId="3C575A26" w14:textId="77777777" w:rsidR="001C44A3" w:rsidRPr="00605E43" w:rsidRDefault="00BD4E6F" w:rsidP="000E5BA9">
      <w:pPr>
        <w:pStyle w:val="Heading2"/>
      </w:pPr>
      <w:r w:rsidRPr="000E5BA9">
        <w:t>Purpose</w:t>
      </w:r>
      <w:r w:rsidR="004D1D85" w:rsidRPr="00605E43">
        <w:t xml:space="preserve"> of the document</w:t>
      </w:r>
    </w:p>
    <w:p w14:paraId="7E2A4642" w14:textId="0270190B" w:rsidR="00E55927" w:rsidRPr="007A395D" w:rsidRDefault="00DC7F9F" w:rsidP="00F36489">
      <w:pPr>
        <w:pStyle w:val="BodyText"/>
      </w:pPr>
      <w:r>
        <w:t xml:space="preserve">The purpose of this input paper is to </w:t>
      </w:r>
      <w:r w:rsidR="00822DF6">
        <w:t xml:space="preserve">propose the addition of a new task to revise Guideline 1089 as an urgent </w:t>
      </w:r>
      <w:r w:rsidR="00C60B9F">
        <w:t xml:space="preserve">new </w:t>
      </w:r>
      <w:r w:rsidR="00822DF6">
        <w:t xml:space="preserve">task in preparation for issue as soon as possible after the new IMO Resolution </w:t>
      </w:r>
      <w:r w:rsidR="00C60B9F">
        <w:t>is adopted.</w:t>
      </w:r>
      <w:r w:rsidR="00822DF6">
        <w:t xml:space="preserve"> </w:t>
      </w:r>
    </w:p>
    <w:p w14:paraId="36D645BE" w14:textId="731CFA83" w:rsidR="00B56BDF" w:rsidRDefault="00B56BDF" w:rsidP="000E5BA9">
      <w:pPr>
        <w:pStyle w:val="Heading2"/>
      </w:pPr>
      <w:r w:rsidRPr="007A395D">
        <w:t>Related documents</w:t>
      </w:r>
    </w:p>
    <w:p w14:paraId="39C36748" w14:textId="442801E7" w:rsidR="00DC7F9F" w:rsidRPr="00DC7F9F" w:rsidRDefault="007220F0" w:rsidP="007220F0">
      <w:pPr>
        <w:pStyle w:val="BodyText"/>
        <w:rPr>
          <w:lang w:eastAsia="de-DE"/>
        </w:rPr>
      </w:pPr>
      <w:r>
        <w:rPr>
          <w:lang w:eastAsia="de-DE"/>
        </w:rPr>
        <w:t xml:space="preserve">Work on this VTS Committee task </w:t>
      </w:r>
      <w:r w:rsidR="00822DF6">
        <w:rPr>
          <w:lang w:eastAsia="de-DE"/>
        </w:rPr>
        <w:t>is associated with the preparation of a submission to go forward to NCSR7 with a proposed revised draft of IMO Resolution A.857(20) as VTS Committee task 1.1.1</w:t>
      </w:r>
      <w:r>
        <w:rPr>
          <w:lang w:eastAsia="de-DE"/>
        </w:rPr>
        <w:t>.</w:t>
      </w:r>
      <w:r w:rsidR="00DC7F9F">
        <w:rPr>
          <w:lang w:eastAsia="de-DE"/>
        </w:rPr>
        <w:t xml:space="preserve"> </w:t>
      </w:r>
    </w:p>
    <w:p w14:paraId="1C213807" w14:textId="0D1B29A4" w:rsidR="00ED1E22" w:rsidRDefault="00ED1E22" w:rsidP="000E5BA9">
      <w:pPr>
        <w:pStyle w:val="Heading1"/>
      </w:pPr>
      <w:r>
        <w:t>Background</w:t>
      </w:r>
    </w:p>
    <w:p w14:paraId="1E2DBD9A" w14:textId="61212ADE" w:rsidR="00A30183" w:rsidRDefault="00A30183" w:rsidP="009D3AAB">
      <w:pPr>
        <w:pStyle w:val="BodyText"/>
        <w:spacing w:after="0"/>
      </w:pPr>
      <w:r>
        <w:t>The seminar on the review of IMO Resolution A.857(20) has demonstrated that this task is progressing very well and the IMO representative at the seminar was optimistic that the draft would be received favourably at IMO and set out the following timetable that he believed to be entirely achievable:</w:t>
      </w:r>
    </w:p>
    <w:p w14:paraId="507667FB" w14:textId="77777777" w:rsidR="00C60B9F" w:rsidRDefault="00C60B9F" w:rsidP="009D3AAB">
      <w:pPr>
        <w:pStyle w:val="BodyText"/>
        <w:spacing w:after="0"/>
      </w:pPr>
    </w:p>
    <w:p w14:paraId="7F367791" w14:textId="3068FE0D" w:rsidR="00A30183" w:rsidRDefault="00A30183" w:rsidP="00A30183">
      <w:pPr>
        <w:pStyle w:val="BodyText"/>
        <w:numPr>
          <w:ilvl w:val="0"/>
          <w:numId w:val="29"/>
        </w:numPr>
      </w:pPr>
      <w:r>
        <w:lastRenderedPageBreak/>
        <w:t>NCSR 7 (possibly) approve the transmission to MSC (January 2020)</w:t>
      </w:r>
    </w:p>
    <w:p w14:paraId="7FE3E073" w14:textId="69C6F515" w:rsidR="00A30183" w:rsidRDefault="00A30183" w:rsidP="00A30183">
      <w:pPr>
        <w:pStyle w:val="BodyText"/>
        <w:numPr>
          <w:ilvl w:val="0"/>
          <w:numId w:val="29"/>
        </w:numPr>
      </w:pPr>
      <w:r>
        <w:t>MSC 102 (possibly) approve the draft revised A. xxx (May 2020)</w:t>
      </w:r>
    </w:p>
    <w:p w14:paraId="3699F0C2" w14:textId="0EBF80A7" w:rsidR="00A30183" w:rsidRDefault="00A30183" w:rsidP="00A30183">
      <w:pPr>
        <w:pStyle w:val="BodyText"/>
        <w:numPr>
          <w:ilvl w:val="0"/>
          <w:numId w:val="29"/>
        </w:numPr>
      </w:pPr>
      <w:r>
        <w:t xml:space="preserve">Assembly 32 (possibly) adopt the draft revised A. </w:t>
      </w:r>
      <w:proofErr w:type="gramStart"/>
      <w:r>
        <w:t>xxx  (</w:t>
      </w:r>
      <w:proofErr w:type="gramEnd"/>
      <w:r>
        <w:t>November 2021?)</w:t>
      </w:r>
    </w:p>
    <w:p w14:paraId="6CB34233" w14:textId="06D413E7" w:rsidR="00A30183" w:rsidRDefault="00A30183" w:rsidP="00A30183">
      <w:pPr>
        <w:pStyle w:val="BodyText"/>
        <w:numPr>
          <w:ilvl w:val="0"/>
          <w:numId w:val="29"/>
        </w:numPr>
        <w:spacing w:after="0"/>
      </w:pPr>
      <w:r>
        <w:t>Implementation by Contracting Governments starts from when? (date may need to be decided, if required)</w:t>
      </w:r>
    </w:p>
    <w:p w14:paraId="236DFA59" w14:textId="77777777" w:rsidR="00A30183" w:rsidRDefault="00A30183" w:rsidP="00A30183">
      <w:pPr>
        <w:pStyle w:val="BodyText"/>
        <w:spacing w:after="0"/>
        <w:ind w:left="360"/>
      </w:pPr>
    </w:p>
    <w:p w14:paraId="4F4109CA" w14:textId="77777777" w:rsidR="00630A64" w:rsidRDefault="00A30183" w:rsidP="00A30183">
      <w:pPr>
        <w:pStyle w:val="BodyText"/>
        <w:spacing w:after="0"/>
      </w:pPr>
      <w:r>
        <w:t>In briefing the seminar, the IMO representative further identified that</w:t>
      </w:r>
      <w:r w:rsidR="00630A64">
        <w:t>:</w:t>
      </w:r>
    </w:p>
    <w:p w14:paraId="33450747" w14:textId="77777777" w:rsidR="00630A64" w:rsidRDefault="00630A64" w:rsidP="00630A64">
      <w:pPr>
        <w:pStyle w:val="BodyText"/>
        <w:numPr>
          <w:ilvl w:val="0"/>
          <w:numId w:val="29"/>
        </w:numPr>
        <w:spacing w:after="0"/>
      </w:pPr>
      <w:r>
        <w:t>T</w:t>
      </w:r>
      <w:r w:rsidR="00A30183">
        <w:t xml:space="preserve">he Assembly would either approve the draft or return it to MSC for amendment but would not </w:t>
      </w:r>
      <w:r>
        <w:t>be likely to make any amendments of significance and,</w:t>
      </w:r>
    </w:p>
    <w:p w14:paraId="4E350DA8" w14:textId="11025E39" w:rsidR="00630A64" w:rsidRDefault="00630A64" w:rsidP="00630A64">
      <w:pPr>
        <w:pStyle w:val="BodyText"/>
        <w:numPr>
          <w:ilvl w:val="0"/>
          <w:numId w:val="29"/>
        </w:numPr>
        <w:spacing w:after="0"/>
      </w:pPr>
      <w:r>
        <w:t>If there were only minor procurement or legal implications, the implementation period could be quite short.</w:t>
      </w:r>
    </w:p>
    <w:p w14:paraId="041E9135" w14:textId="500648BC" w:rsidR="00A446C9" w:rsidRPr="007A395D" w:rsidRDefault="00A446C9" w:rsidP="000E5BA9">
      <w:pPr>
        <w:pStyle w:val="Heading1"/>
      </w:pPr>
      <w:r w:rsidRPr="000E5BA9">
        <w:t>Discussion</w:t>
      </w:r>
    </w:p>
    <w:p w14:paraId="4ED932E6" w14:textId="77777777" w:rsidR="008236A1" w:rsidRDefault="00630A64" w:rsidP="00BF6168">
      <w:pPr>
        <w:pStyle w:val="Heading2"/>
        <w:numPr>
          <w:ilvl w:val="0"/>
          <w:numId w:val="0"/>
        </w:numPr>
        <w:rPr>
          <w:b w:val="0"/>
          <w:color w:val="auto"/>
          <w:kern w:val="0"/>
          <w:lang w:eastAsia="en-GB"/>
        </w:rPr>
      </w:pPr>
      <w:r>
        <w:rPr>
          <w:b w:val="0"/>
          <w:color w:val="auto"/>
          <w:kern w:val="0"/>
          <w:lang w:eastAsia="en-GB"/>
        </w:rPr>
        <w:t>Noting the timetable set out by the IMO representative, it is evident that there is good reason to believe that a revised draft IMO Resolution on Vessel Traffic Services might be approved by MSC in May 2020 and that this would be in its final form subject only to adoption of the revised draft by the Assembly in November 2021.</w:t>
      </w:r>
    </w:p>
    <w:p w14:paraId="7FBC692E" w14:textId="6B74AEA8" w:rsidR="00EE53E8" w:rsidRDefault="008236A1" w:rsidP="00BF6168">
      <w:pPr>
        <w:pStyle w:val="Heading2"/>
        <w:numPr>
          <w:ilvl w:val="0"/>
          <w:numId w:val="0"/>
        </w:numPr>
        <w:rPr>
          <w:b w:val="0"/>
          <w:color w:val="auto"/>
          <w:kern w:val="0"/>
          <w:lang w:eastAsia="en-GB"/>
        </w:rPr>
      </w:pPr>
      <w:r>
        <w:rPr>
          <w:b w:val="0"/>
          <w:color w:val="auto"/>
          <w:kern w:val="0"/>
          <w:lang w:eastAsia="en-GB"/>
        </w:rPr>
        <w:t xml:space="preserve">The one document that will be immediately impacted by the revised IMO Resolution is IALA Guideline 1089 - </w:t>
      </w:r>
      <w:r w:rsidRPr="008236A1">
        <w:rPr>
          <w:b w:val="0"/>
          <w:color w:val="auto"/>
          <w:kern w:val="0"/>
          <w:lang w:eastAsia="en-GB"/>
        </w:rPr>
        <w:t>Provision of Vessel Traffic Services (INS, TOS &amp; NAS)</w:t>
      </w:r>
      <w:r>
        <w:rPr>
          <w:b w:val="0"/>
          <w:color w:val="auto"/>
          <w:kern w:val="0"/>
          <w:lang w:eastAsia="en-GB"/>
        </w:rPr>
        <w:t xml:space="preserve">.  The implication of the changes to the Resolution are significant and it is important that revised guidance is ready for issue immediately after </w:t>
      </w:r>
      <w:r w:rsidR="00C60B9F">
        <w:rPr>
          <w:b w:val="0"/>
          <w:color w:val="auto"/>
          <w:kern w:val="0"/>
          <w:lang w:eastAsia="en-GB"/>
        </w:rPr>
        <w:t>it is adopted and irrespective of the</w:t>
      </w:r>
      <w:r>
        <w:rPr>
          <w:b w:val="0"/>
          <w:color w:val="auto"/>
          <w:kern w:val="0"/>
          <w:lang w:eastAsia="en-GB"/>
        </w:rPr>
        <w:t xml:space="preserve"> implementation date set by the IMO Assembly.  It would be wise to assume</w:t>
      </w:r>
      <w:r w:rsidR="00EE53E8">
        <w:rPr>
          <w:b w:val="0"/>
          <w:color w:val="auto"/>
          <w:kern w:val="0"/>
          <w:lang w:eastAsia="en-GB"/>
        </w:rPr>
        <w:t>, therefore,</w:t>
      </w:r>
      <w:r>
        <w:rPr>
          <w:b w:val="0"/>
          <w:color w:val="auto"/>
          <w:kern w:val="0"/>
          <w:lang w:eastAsia="en-GB"/>
        </w:rPr>
        <w:t xml:space="preserve"> that</w:t>
      </w:r>
      <w:r w:rsidR="00EE53E8">
        <w:rPr>
          <w:b w:val="0"/>
          <w:color w:val="auto"/>
          <w:kern w:val="0"/>
          <w:lang w:eastAsia="en-GB"/>
        </w:rPr>
        <w:t xml:space="preserve"> revised guidance to replace IALA Guideline 1089 should be ready for issue by November 2021.</w:t>
      </w:r>
    </w:p>
    <w:p w14:paraId="1F717BB1" w14:textId="77777777" w:rsidR="00EE53E8" w:rsidRDefault="00EE53E8" w:rsidP="00BF6168">
      <w:pPr>
        <w:pStyle w:val="Heading2"/>
        <w:numPr>
          <w:ilvl w:val="0"/>
          <w:numId w:val="0"/>
        </w:numPr>
        <w:rPr>
          <w:b w:val="0"/>
          <w:color w:val="auto"/>
          <w:kern w:val="0"/>
          <w:lang w:eastAsia="en-GB"/>
        </w:rPr>
      </w:pPr>
      <w:r>
        <w:rPr>
          <w:b w:val="0"/>
          <w:color w:val="auto"/>
          <w:kern w:val="0"/>
          <w:lang w:eastAsia="en-GB"/>
        </w:rPr>
        <w:t>Working back from an anticipated date of November 2021</w:t>
      </w:r>
      <w:r w:rsidRPr="00EE53E8">
        <w:rPr>
          <w:b w:val="0"/>
          <w:color w:val="auto"/>
          <w:kern w:val="0"/>
          <w:lang w:eastAsia="en-GB"/>
        </w:rPr>
        <w:t xml:space="preserve"> </w:t>
      </w:r>
      <w:r>
        <w:rPr>
          <w:b w:val="0"/>
          <w:color w:val="auto"/>
          <w:kern w:val="0"/>
          <w:lang w:eastAsia="en-GB"/>
        </w:rPr>
        <w:t>for adoption of a new and revised Resolution on Vessel Traffic Services, a revised Guideline 1089 should have been approved by the IALA Council no later than its summer 2021 meeting.  This, in turn, will require a revised Guideline 1089 to be finalised for submission to Council no later than the spring 2021 meeting of the VTS Committee.</w:t>
      </w:r>
    </w:p>
    <w:p w14:paraId="2AEC261F" w14:textId="0CD7B11B" w:rsidR="00604EB8" w:rsidRDefault="00EE53E8" w:rsidP="00BF6168">
      <w:pPr>
        <w:pStyle w:val="Heading2"/>
        <w:numPr>
          <w:ilvl w:val="0"/>
          <w:numId w:val="0"/>
        </w:numPr>
        <w:rPr>
          <w:b w:val="0"/>
          <w:color w:val="auto"/>
          <w:kern w:val="0"/>
          <w:lang w:eastAsia="en-GB"/>
        </w:rPr>
      </w:pPr>
      <w:r>
        <w:rPr>
          <w:b w:val="0"/>
          <w:color w:val="auto"/>
          <w:kern w:val="0"/>
          <w:lang w:eastAsia="en-GB"/>
        </w:rPr>
        <w:t xml:space="preserve">The importance and significance of this new task cannot be underestimated and, if necessary, this should take precedence over other tasks for WG1 in order to meet </w:t>
      </w:r>
      <w:r w:rsidR="00604EB8">
        <w:rPr>
          <w:b w:val="0"/>
          <w:color w:val="auto"/>
          <w:kern w:val="0"/>
          <w:lang w:eastAsia="en-GB"/>
        </w:rPr>
        <w:t>th</w:t>
      </w:r>
      <w:r w:rsidR="00C60B9F">
        <w:rPr>
          <w:b w:val="0"/>
          <w:color w:val="auto"/>
          <w:kern w:val="0"/>
          <w:lang w:eastAsia="en-GB"/>
        </w:rPr>
        <w:t>is timeframe</w:t>
      </w:r>
      <w:r w:rsidR="00604EB8">
        <w:rPr>
          <w:b w:val="0"/>
          <w:color w:val="auto"/>
          <w:kern w:val="0"/>
          <w:lang w:eastAsia="en-GB"/>
        </w:rPr>
        <w:t>.</w:t>
      </w:r>
    </w:p>
    <w:p w14:paraId="70007773" w14:textId="7DE19539" w:rsidR="00630A64" w:rsidRDefault="00604EB8" w:rsidP="00BF6168">
      <w:pPr>
        <w:pStyle w:val="Heading2"/>
        <w:numPr>
          <w:ilvl w:val="0"/>
          <w:numId w:val="0"/>
        </w:numPr>
        <w:rPr>
          <w:b w:val="0"/>
          <w:color w:val="auto"/>
          <w:kern w:val="0"/>
          <w:lang w:eastAsia="en-GB"/>
        </w:rPr>
      </w:pPr>
      <w:r>
        <w:rPr>
          <w:b w:val="0"/>
          <w:color w:val="auto"/>
          <w:kern w:val="0"/>
          <w:lang w:eastAsia="en-GB"/>
        </w:rPr>
        <w:t xml:space="preserve">It is not considered that the same urgency exists to update or amend other IALA documents to reflect changes </w:t>
      </w:r>
      <w:r w:rsidR="00C60B9F">
        <w:rPr>
          <w:b w:val="0"/>
          <w:color w:val="auto"/>
          <w:kern w:val="0"/>
          <w:lang w:eastAsia="en-GB"/>
        </w:rPr>
        <w:t xml:space="preserve">that may </w:t>
      </w:r>
      <w:r>
        <w:rPr>
          <w:b w:val="0"/>
          <w:color w:val="auto"/>
          <w:kern w:val="0"/>
          <w:lang w:eastAsia="en-GB"/>
        </w:rPr>
        <w:t xml:space="preserve">result from an amended IMO </w:t>
      </w:r>
      <w:proofErr w:type="gramStart"/>
      <w:r>
        <w:rPr>
          <w:b w:val="0"/>
          <w:color w:val="auto"/>
          <w:kern w:val="0"/>
          <w:lang w:eastAsia="en-GB"/>
        </w:rPr>
        <w:t>Resolution</w:t>
      </w:r>
      <w:proofErr w:type="gramEnd"/>
      <w:r>
        <w:rPr>
          <w:b w:val="0"/>
          <w:color w:val="auto"/>
          <w:kern w:val="0"/>
          <w:lang w:eastAsia="en-GB"/>
        </w:rPr>
        <w:t xml:space="preserve"> but individual Working Groups might wish to review individual documents under their lead.  </w:t>
      </w:r>
      <w:r w:rsidR="00EE53E8">
        <w:rPr>
          <w:b w:val="0"/>
          <w:color w:val="auto"/>
          <w:kern w:val="0"/>
          <w:lang w:eastAsia="en-GB"/>
        </w:rPr>
        <w:t xml:space="preserve">     </w:t>
      </w:r>
    </w:p>
    <w:p w14:paraId="1D083D92" w14:textId="77777777" w:rsidR="00180DDA" w:rsidRPr="007A395D" w:rsidRDefault="00180DDA" w:rsidP="000E5BA9">
      <w:pPr>
        <w:pStyle w:val="Heading1"/>
      </w:pPr>
      <w:r w:rsidRPr="007A395D">
        <w:t>References</w:t>
      </w:r>
    </w:p>
    <w:p w14:paraId="3C2BD643" w14:textId="77777777" w:rsidR="00EE53E8" w:rsidRDefault="00EE53E8" w:rsidP="007220F0">
      <w:pPr>
        <w:pStyle w:val="References"/>
        <w:rPr>
          <w:lang w:eastAsia="de-DE"/>
        </w:rPr>
      </w:pPr>
      <w:r w:rsidRPr="00EE53E8">
        <w:rPr>
          <w:lang w:eastAsia="de-DE"/>
        </w:rPr>
        <w:t>Report - IALA Seminar on the Revision of IMO Resolution A.857(20) Guidelines for VTS</w:t>
      </w:r>
      <w:r>
        <w:rPr>
          <w:lang w:eastAsia="de-DE"/>
        </w:rPr>
        <w:t xml:space="preserve"> – Jul 2019</w:t>
      </w:r>
    </w:p>
    <w:p w14:paraId="7A8D2F27" w14:textId="77777777" w:rsidR="00A446C9" w:rsidRPr="007A395D" w:rsidRDefault="00A446C9" w:rsidP="000E5BA9">
      <w:pPr>
        <w:pStyle w:val="Heading1"/>
      </w:pPr>
      <w:r w:rsidRPr="007A395D">
        <w:t>Action requested of the Committee</w:t>
      </w:r>
    </w:p>
    <w:p w14:paraId="4481CDB8" w14:textId="77777777" w:rsidR="00604EB8" w:rsidRDefault="00F25BF4" w:rsidP="00604EB8">
      <w:pPr>
        <w:pStyle w:val="BodyText"/>
      </w:pPr>
      <w:r w:rsidRPr="007A395D">
        <w:t>The Committee is requested to</w:t>
      </w:r>
      <w:r w:rsidR="00C8344A">
        <w:t xml:space="preserve"> consider</w:t>
      </w:r>
      <w:r w:rsidR="00604EB8">
        <w:t>:</w:t>
      </w:r>
    </w:p>
    <w:p w14:paraId="5D1F7013" w14:textId="0478AF92" w:rsidR="005E355F" w:rsidRDefault="00C60B9F" w:rsidP="00604EB8">
      <w:pPr>
        <w:pStyle w:val="BodyText"/>
        <w:numPr>
          <w:ilvl w:val="1"/>
          <w:numId w:val="9"/>
        </w:numPr>
      </w:pPr>
      <w:r>
        <w:t>t</w:t>
      </w:r>
      <w:r w:rsidR="00604EB8">
        <w:t>he addition of a</w:t>
      </w:r>
      <w:r>
        <w:t xml:space="preserve">n urgent and important </w:t>
      </w:r>
      <w:r w:rsidR="00604EB8">
        <w:t>new task to r</w:t>
      </w:r>
      <w:r w:rsidR="00604EB8" w:rsidRPr="00604EB8">
        <w:t>evis</w:t>
      </w:r>
      <w:r w:rsidR="00604EB8">
        <w:t>e</w:t>
      </w:r>
      <w:r w:rsidR="00604EB8" w:rsidRPr="00604EB8">
        <w:t xml:space="preserve"> Guideline 1089 - Provision of Vessel Traffic Services (INS, TOS &amp; NAS)</w:t>
      </w:r>
      <w:r w:rsidR="00604EB8">
        <w:t xml:space="preserve"> for completion no later than spring 2021</w:t>
      </w:r>
      <w:r>
        <w:t xml:space="preserve"> </w:t>
      </w:r>
      <w:r w:rsidR="00604EB8">
        <w:t xml:space="preserve">to meet the new requirements anticipated to be introduced with the </w:t>
      </w:r>
      <w:r>
        <w:t xml:space="preserve">adoption </w:t>
      </w:r>
      <w:r w:rsidR="00604EB8">
        <w:t>of a revised IMO Resolution on Vessel Traffic Services.</w:t>
      </w:r>
    </w:p>
    <w:p w14:paraId="0C919311" w14:textId="24C1360E" w:rsidR="00604EB8" w:rsidRDefault="00C60B9F" w:rsidP="00604EB8">
      <w:pPr>
        <w:pStyle w:val="BodyText"/>
        <w:numPr>
          <w:ilvl w:val="1"/>
          <w:numId w:val="9"/>
        </w:numPr>
      </w:pPr>
      <w:r>
        <w:t>w</w:t>
      </w:r>
      <w:r w:rsidR="00604EB8">
        <w:t xml:space="preserve">hether there are any other </w:t>
      </w:r>
      <w:r>
        <w:t xml:space="preserve">IALA </w:t>
      </w:r>
      <w:r w:rsidR="00604EB8">
        <w:t xml:space="preserve">documents </w:t>
      </w:r>
      <w:r>
        <w:t xml:space="preserve">which might require similar accelerated review. </w:t>
      </w:r>
    </w:p>
    <w:sectPr w:rsidR="00604EB8" w:rsidSect="00D63FA9">
      <w:headerReference w:type="even" r:id="rId8"/>
      <w:headerReference w:type="default" r:id="rId9"/>
      <w:footerReference w:type="default" r:id="rId10"/>
      <w:headerReference w:type="first" r:id="rId11"/>
      <w:pgSz w:w="11906" w:h="16838"/>
      <w:pgMar w:top="1134" w:right="1134" w:bottom="1134" w:left="1134" w:header="709"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D26D" w14:textId="77777777" w:rsidR="00D83C11" w:rsidRDefault="00D83C11" w:rsidP="00362CD9">
      <w:r>
        <w:separator/>
      </w:r>
    </w:p>
    <w:p w14:paraId="52DB7324" w14:textId="77777777" w:rsidR="00D83C11" w:rsidRDefault="00D83C11"/>
    <w:p w14:paraId="47DD1A39" w14:textId="77777777" w:rsidR="00D83C11" w:rsidRDefault="00D83C11"/>
  </w:endnote>
  <w:endnote w:type="continuationSeparator" w:id="0">
    <w:p w14:paraId="2D9BC9C2" w14:textId="77777777" w:rsidR="00D83C11" w:rsidRDefault="00D83C11" w:rsidP="00362CD9">
      <w:r>
        <w:continuationSeparator/>
      </w:r>
    </w:p>
    <w:p w14:paraId="4C97D824" w14:textId="77777777" w:rsidR="00D83C11" w:rsidRDefault="00D83C11"/>
    <w:p w14:paraId="784BAD8C" w14:textId="77777777" w:rsidR="00D83C11" w:rsidRDefault="00D83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002F7" w14:textId="77777777" w:rsidR="006222F0" w:rsidRDefault="006222F0" w:rsidP="006222F0">
    <w:pPr>
      <w:pStyle w:val="Footer"/>
    </w:pPr>
  </w:p>
  <w:p w14:paraId="011EB0C0" w14:textId="77777777" w:rsidR="006222F0" w:rsidRDefault="006222F0" w:rsidP="006222F0">
    <w:pPr>
      <w:pStyle w:val="Footerportrait"/>
    </w:pPr>
  </w:p>
  <w:p w14:paraId="791953C4" w14:textId="78CB6AE2" w:rsidR="006222F0" w:rsidRPr="00C907DF" w:rsidRDefault="006222F0" w:rsidP="00236C96">
    <w:pPr>
      <w:pStyle w:val="Footerportrait"/>
      <w:tabs>
        <w:tab w:val="clear" w:pos="10206"/>
        <w:tab w:val="right" w:pos="10205"/>
      </w:tabs>
    </w:pPr>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5</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7613D" w14:textId="77777777" w:rsidR="00D83C11" w:rsidRDefault="00D83C11" w:rsidP="00362CD9">
      <w:r>
        <w:separator/>
      </w:r>
    </w:p>
    <w:p w14:paraId="08DA2C3E" w14:textId="77777777" w:rsidR="00D83C11" w:rsidRDefault="00D83C11"/>
    <w:p w14:paraId="34DFFA26" w14:textId="77777777" w:rsidR="00D83C11" w:rsidRDefault="00D83C11"/>
  </w:footnote>
  <w:footnote w:type="continuationSeparator" w:id="0">
    <w:p w14:paraId="17CEAAA8" w14:textId="77777777" w:rsidR="00D83C11" w:rsidRDefault="00D83C11" w:rsidP="00362CD9">
      <w:r>
        <w:continuationSeparator/>
      </w:r>
    </w:p>
    <w:p w14:paraId="6E75BE01" w14:textId="77777777" w:rsidR="00D83C11" w:rsidRDefault="00D83C11"/>
    <w:p w14:paraId="36071770" w14:textId="77777777" w:rsidR="00D83C11" w:rsidRDefault="00D83C11"/>
  </w:footnote>
  <w:footnote w:id="1">
    <w:p w14:paraId="741FE09C" w14:textId="56CC54BF" w:rsidR="006222F0" w:rsidRPr="007055E4" w:rsidRDefault="006222F0">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11BCFA4D" w:rsidR="006222F0" w:rsidRPr="00037DF4" w:rsidRDefault="006222F0"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9E1D0" w14:textId="77777777" w:rsidR="006222F0" w:rsidRDefault="00D83C11">
    <w:pPr>
      <w:pStyle w:val="Header"/>
    </w:pPr>
    <w:r>
      <w:rPr>
        <w:noProof/>
      </w:rPr>
      <w:pict w14:anchorId="76638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3" o:spid="_x0000_s2062" type="#_x0000_t136" style="position:absolute;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73BB8" w14:textId="77777777" w:rsidR="006222F0" w:rsidRPr="00667792" w:rsidRDefault="00D83C11" w:rsidP="006222F0">
    <w:pPr>
      <w:pStyle w:val="Header"/>
    </w:pPr>
    <w:r>
      <w:rPr>
        <w:noProof/>
      </w:rPr>
      <w:pict w14:anchorId="6385D0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4" o:spid="_x0000_s2063"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222F0">
      <w:rPr>
        <w:noProof/>
        <w:lang w:val="nb-NO" w:eastAsia="nb-NO"/>
      </w:rPr>
      <w:drawing>
        <wp:anchor distT="0" distB="0" distL="114300" distR="114300" simplePos="0" relativeHeight="251648512" behindDoc="1" locked="0" layoutInCell="1" allowOverlap="1" wp14:anchorId="3671F59F" wp14:editId="4CE8AB87">
          <wp:simplePos x="0" y="0"/>
          <wp:positionH relativeFrom="page">
            <wp:posOffset>6565486</wp:posOffset>
          </wp:positionH>
          <wp:positionV relativeFrom="page">
            <wp:posOffset>3810</wp:posOffset>
          </wp:positionV>
          <wp:extent cx="720000" cy="720000"/>
          <wp:effectExtent l="0" t="0" r="4445" b="4445"/>
          <wp:wrapNone/>
          <wp:docPr id="3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DB30F" w14:textId="77777777" w:rsidR="006222F0" w:rsidRDefault="00D83C11">
    <w:pPr>
      <w:pStyle w:val="Header"/>
    </w:pPr>
    <w:r>
      <w:rPr>
        <w:noProof/>
      </w:rPr>
      <w:pict w14:anchorId="1F9655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157882" o:spid="_x0000_s2061"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C92"/>
    <w:multiLevelType w:val="hybridMultilevel"/>
    <w:tmpl w:val="7404494A"/>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590C37"/>
    <w:multiLevelType w:val="hybridMultilevel"/>
    <w:tmpl w:val="37E253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C33306C"/>
    <w:multiLevelType w:val="hybridMultilevel"/>
    <w:tmpl w:val="0E2E7B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15:restartNumberingAfterBreak="0">
    <w:nsid w:val="0E4A7213"/>
    <w:multiLevelType w:val="hybridMultilevel"/>
    <w:tmpl w:val="68643348"/>
    <w:lvl w:ilvl="0" w:tplc="A7B8D8CC">
      <w:start w:val="1"/>
      <w:numFmt w:val="decimal"/>
      <w:pStyle w:val="Appendix"/>
      <w:lvlText w:val="APPENDIX %1"/>
      <w:lvlJc w:val="left"/>
      <w:pPr>
        <w:ind w:left="720" w:hanging="360"/>
      </w:pPr>
      <w:rPr>
        <w:rFonts w:hint="default"/>
        <w:color w:val="0070C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9C37E91"/>
    <w:multiLevelType w:val="multilevel"/>
    <w:tmpl w:val="B6686248"/>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BF71107"/>
    <w:multiLevelType w:val="hybridMultilevel"/>
    <w:tmpl w:val="9D4E6586"/>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F3F3A7B"/>
    <w:multiLevelType w:val="hybridMultilevel"/>
    <w:tmpl w:val="142EA39A"/>
    <w:lvl w:ilvl="0" w:tplc="A3E6618C">
      <w:numFmt w:val="bullet"/>
      <w:lvlText w:val="•"/>
      <w:lvlJc w:val="left"/>
      <w:pPr>
        <w:ind w:left="774"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F47189"/>
    <w:multiLevelType w:val="hybridMultilevel"/>
    <w:tmpl w:val="EF7CF4A4"/>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3"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7629A0"/>
    <w:multiLevelType w:val="hybridMultilevel"/>
    <w:tmpl w:val="943EB59C"/>
    <w:lvl w:ilvl="0" w:tplc="19E2718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DE64DF"/>
    <w:multiLevelType w:val="hybridMultilevel"/>
    <w:tmpl w:val="F468D3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1C75E5E"/>
    <w:multiLevelType w:val="hybridMultilevel"/>
    <w:tmpl w:val="240E6F80"/>
    <w:lvl w:ilvl="0" w:tplc="A3E6618C">
      <w:numFmt w:val="bullet"/>
      <w:lvlText w:val="•"/>
      <w:lvlJc w:val="left"/>
      <w:pPr>
        <w:ind w:left="774" w:hanging="360"/>
      </w:pPr>
      <w:rPr>
        <w:rFonts w:ascii="Calibri" w:eastAsiaTheme="minorHAnsi" w:hAnsi="Calibri" w:cs="Calibri"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3"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6F049C7"/>
    <w:multiLevelType w:val="hybridMultilevel"/>
    <w:tmpl w:val="A5F07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2933B94"/>
    <w:multiLevelType w:val="hybridMultilevel"/>
    <w:tmpl w:val="C3A40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3DA33D8"/>
    <w:multiLevelType w:val="multilevel"/>
    <w:tmpl w:val="AC16668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2"/>
  </w:num>
  <w:num w:numId="3">
    <w:abstractNumId w:val="25"/>
  </w:num>
  <w:num w:numId="4">
    <w:abstractNumId w:val="11"/>
  </w:num>
  <w:num w:numId="5">
    <w:abstractNumId w:val="9"/>
  </w:num>
  <w:num w:numId="6">
    <w:abstractNumId w:val="19"/>
  </w:num>
  <w:num w:numId="7">
    <w:abstractNumId w:val="18"/>
  </w:num>
  <w:num w:numId="8">
    <w:abstractNumId w:val="23"/>
  </w:num>
  <w:num w:numId="9">
    <w:abstractNumId w:val="8"/>
  </w:num>
  <w:num w:numId="10">
    <w:abstractNumId w:val="21"/>
  </w:num>
  <w:num w:numId="11">
    <w:abstractNumId w:val="14"/>
  </w:num>
  <w:num w:numId="12">
    <w:abstractNumId w:val="13"/>
  </w:num>
  <w:num w:numId="13">
    <w:abstractNumId w:val="6"/>
  </w:num>
  <w:num w:numId="14">
    <w:abstractNumId w:val="15"/>
  </w:num>
  <w:num w:numId="15">
    <w:abstractNumId w:val="27"/>
  </w:num>
  <w:num w:numId="16">
    <w:abstractNumId w:val="4"/>
  </w:num>
  <w:num w:numId="17">
    <w:abstractNumId w:val="5"/>
  </w:num>
  <w:num w:numId="18">
    <w:abstractNumId w:val="24"/>
  </w:num>
  <w:num w:numId="19">
    <w:abstractNumId w:val="1"/>
  </w:num>
  <w:num w:numId="20">
    <w:abstractNumId w:val="26"/>
  </w:num>
  <w:num w:numId="21">
    <w:abstractNumId w:val="20"/>
  </w:num>
  <w:num w:numId="22">
    <w:abstractNumId w:val="22"/>
  </w:num>
  <w:num w:numId="23">
    <w:abstractNumId w:val="3"/>
  </w:num>
  <w:num w:numId="24">
    <w:abstractNumId w:val="10"/>
  </w:num>
  <w:num w:numId="25">
    <w:abstractNumId w:val="7"/>
  </w:num>
  <w:num w:numId="26">
    <w:abstractNumId w:val="12"/>
  </w:num>
  <w:num w:numId="27">
    <w:abstractNumId w:val="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49FE"/>
    <w:rsid w:val="00036B9E"/>
    <w:rsid w:val="00037DF4"/>
    <w:rsid w:val="0004700E"/>
    <w:rsid w:val="00070C13"/>
    <w:rsid w:val="000715C9"/>
    <w:rsid w:val="00084F33"/>
    <w:rsid w:val="000A77A7"/>
    <w:rsid w:val="000B1707"/>
    <w:rsid w:val="000C1B3E"/>
    <w:rsid w:val="000E5BA9"/>
    <w:rsid w:val="000F15B0"/>
    <w:rsid w:val="0010585B"/>
    <w:rsid w:val="00110AE7"/>
    <w:rsid w:val="00127DB0"/>
    <w:rsid w:val="00137240"/>
    <w:rsid w:val="00177F4D"/>
    <w:rsid w:val="00180DDA"/>
    <w:rsid w:val="00184F5E"/>
    <w:rsid w:val="001A3B57"/>
    <w:rsid w:val="001B2A2D"/>
    <w:rsid w:val="001B737D"/>
    <w:rsid w:val="001C44A3"/>
    <w:rsid w:val="001C7BE2"/>
    <w:rsid w:val="001D5CD7"/>
    <w:rsid w:val="001E0E15"/>
    <w:rsid w:val="001F528A"/>
    <w:rsid w:val="001F704E"/>
    <w:rsid w:val="00201722"/>
    <w:rsid w:val="002125B0"/>
    <w:rsid w:val="00236C96"/>
    <w:rsid w:val="00243228"/>
    <w:rsid w:val="00251483"/>
    <w:rsid w:val="00255CAA"/>
    <w:rsid w:val="002608E2"/>
    <w:rsid w:val="00264305"/>
    <w:rsid w:val="00265CED"/>
    <w:rsid w:val="00291053"/>
    <w:rsid w:val="002A0346"/>
    <w:rsid w:val="002A4487"/>
    <w:rsid w:val="002B49E9"/>
    <w:rsid w:val="002C632E"/>
    <w:rsid w:val="002D3E8B"/>
    <w:rsid w:val="002D4575"/>
    <w:rsid w:val="002D5C0C"/>
    <w:rsid w:val="002E03D1"/>
    <w:rsid w:val="002E6B74"/>
    <w:rsid w:val="002E6FCA"/>
    <w:rsid w:val="002F0B57"/>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56E2"/>
    <w:rsid w:val="00420A38"/>
    <w:rsid w:val="00431B19"/>
    <w:rsid w:val="004520B3"/>
    <w:rsid w:val="004661AD"/>
    <w:rsid w:val="004737B9"/>
    <w:rsid w:val="00473D7C"/>
    <w:rsid w:val="00487B9B"/>
    <w:rsid w:val="004D1D85"/>
    <w:rsid w:val="004D3C3A"/>
    <w:rsid w:val="004D4B1B"/>
    <w:rsid w:val="004D6047"/>
    <w:rsid w:val="004E1CD1"/>
    <w:rsid w:val="005107EB"/>
    <w:rsid w:val="00521345"/>
    <w:rsid w:val="00526DF0"/>
    <w:rsid w:val="00545CC4"/>
    <w:rsid w:val="00551FFF"/>
    <w:rsid w:val="005607A2"/>
    <w:rsid w:val="005622DA"/>
    <w:rsid w:val="0057198B"/>
    <w:rsid w:val="00573CFE"/>
    <w:rsid w:val="00587C16"/>
    <w:rsid w:val="00592B73"/>
    <w:rsid w:val="005969F2"/>
    <w:rsid w:val="00597FAE"/>
    <w:rsid w:val="005B32A3"/>
    <w:rsid w:val="005B7A6E"/>
    <w:rsid w:val="005C0D44"/>
    <w:rsid w:val="005C566C"/>
    <w:rsid w:val="005C7E69"/>
    <w:rsid w:val="005D4961"/>
    <w:rsid w:val="005E262D"/>
    <w:rsid w:val="005E3508"/>
    <w:rsid w:val="005E355F"/>
    <w:rsid w:val="005F23D3"/>
    <w:rsid w:val="005F7E20"/>
    <w:rsid w:val="00604EB8"/>
    <w:rsid w:val="00605E43"/>
    <w:rsid w:val="006153BB"/>
    <w:rsid w:val="006222F0"/>
    <w:rsid w:val="00630A64"/>
    <w:rsid w:val="00650B5D"/>
    <w:rsid w:val="006652C3"/>
    <w:rsid w:val="00677FAA"/>
    <w:rsid w:val="00681DFF"/>
    <w:rsid w:val="00691FD0"/>
    <w:rsid w:val="00692148"/>
    <w:rsid w:val="006946EC"/>
    <w:rsid w:val="006A1A1E"/>
    <w:rsid w:val="006A35F1"/>
    <w:rsid w:val="006A7E45"/>
    <w:rsid w:val="006C5948"/>
    <w:rsid w:val="006D0614"/>
    <w:rsid w:val="006E588E"/>
    <w:rsid w:val="006F017F"/>
    <w:rsid w:val="006F2A74"/>
    <w:rsid w:val="006F4F07"/>
    <w:rsid w:val="007055E4"/>
    <w:rsid w:val="007118F5"/>
    <w:rsid w:val="00712AA4"/>
    <w:rsid w:val="007146C4"/>
    <w:rsid w:val="007165CE"/>
    <w:rsid w:val="00721AA1"/>
    <w:rsid w:val="007220F0"/>
    <w:rsid w:val="00724B67"/>
    <w:rsid w:val="00725902"/>
    <w:rsid w:val="007547F8"/>
    <w:rsid w:val="00765622"/>
    <w:rsid w:val="00770B6C"/>
    <w:rsid w:val="00774C04"/>
    <w:rsid w:val="00783FEA"/>
    <w:rsid w:val="00797036"/>
    <w:rsid w:val="007A395D"/>
    <w:rsid w:val="007C346C"/>
    <w:rsid w:val="007D2854"/>
    <w:rsid w:val="007D7171"/>
    <w:rsid w:val="007E09BC"/>
    <w:rsid w:val="0080294B"/>
    <w:rsid w:val="00822DF6"/>
    <w:rsid w:val="008236A1"/>
    <w:rsid w:val="00823AAA"/>
    <w:rsid w:val="0082480E"/>
    <w:rsid w:val="008456CE"/>
    <w:rsid w:val="00850293"/>
    <w:rsid w:val="00851373"/>
    <w:rsid w:val="00851BA6"/>
    <w:rsid w:val="0085654D"/>
    <w:rsid w:val="00860D67"/>
    <w:rsid w:val="00861160"/>
    <w:rsid w:val="0086654F"/>
    <w:rsid w:val="00875CB4"/>
    <w:rsid w:val="00877C10"/>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31C0"/>
    <w:rsid w:val="0099161D"/>
    <w:rsid w:val="009B5263"/>
    <w:rsid w:val="009D3AAB"/>
    <w:rsid w:val="009D3DA2"/>
    <w:rsid w:val="00A0389B"/>
    <w:rsid w:val="00A30183"/>
    <w:rsid w:val="00A33AE9"/>
    <w:rsid w:val="00A33E48"/>
    <w:rsid w:val="00A35999"/>
    <w:rsid w:val="00A446C9"/>
    <w:rsid w:val="00A635D6"/>
    <w:rsid w:val="00A8553A"/>
    <w:rsid w:val="00A930C1"/>
    <w:rsid w:val="00A93AED"/>
    <w:rsid w:val="00AE1319"/>
    <w:rsid w:val="00AE144D"/>
    <w:rsid w:val="00AE34BB"/>
    <w:rsid w:val="00B226F2"/>
    <w:rsid w:val="00B274DF"/>
    <w:rsid w:val="00B56BDF"/>
    <w:rsid w:val="00B64828"/>
    <w:rsid w:val="00B65812"/>
    <w:rsid w:val="00B802D8"/>
    <w:rsid w:val="00B843D8"/>
    <w:rsid w:val="00B85CD6"/>
    <w:rsid w:val="00B90A27"/>
    <w:rsid w:val="00B9554D"/>
    <w:rsid w:val="00BB2B9F"/>
    <w:rsid w:val="00BB7D9E"/>
    <w:rsid w:val="00BC2334"/>
    <w:rsid w:val="00BD3CB8"/>
    <w:rsid w:val="00BD4E6F"/>
    <w:rsid w:val="00BF32F0"/>
    <w:rsid w:val="00BF4DCE"/>
    <w:rsid w:val="00BF6168"/>
    <w:rsid w:val="00C05CE5"/>
    <w:rsid w:val="00C54DC9"/>
    <w:rsid w:val="00C60B9F"/>
    <w:rsid w:val="00C6171E"/>
    <w:rsid w:val="00C8344A"/>
    <w:rsid w:val="00CA6F2C"/>
    <w:rsid w:val="00CB2787"/>
    <w:rsid w:val="00CC2DCC"/>
    <w:rsid w:val="00CC6E6E"/>
    <w:rsid w:val="00CF1871"/>
    <w:rsid w:val="00D019CE"/>
    <w:rsid w:val="00D1133E"/>
    <w:rsid w:val="00D17A34"/>
    <w:rsid w:val="00D26628"/>
    <w:rsid w:val="00D332B3"/>
    <w:rsid w:val="00D55207"/>
    <w:rsid w:val="00D63FA9"/>
    <w:rsid w:val="00D81801"/>
    <w:rsid w:val="00D83C11"/>
    <w:rsid w:val="00D92B45"/>
    <w:rsid w:val="00D95962"/>
    <w:rsid w:val="00DC389B"/>
    <w:rsid w:val="00DC5133"/>
    <w:rsid w:val="00DC7F9F"/>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1E22"/>
    <w:rsid w:val="00ED36FD"/>
    <w:rsid w:val="00EE4C1D"/>
    <w:rsid w:val="00EE53E8"/>
    <w:rsid w:val="00EF3685"/>
    <w:rsid w:val="00F04350"/>
    <w:rsid w:val="00F133DB"/>
    <w:rsid w:val="00F159EB"/>
    <w:rsid w:val="00F25BF4"/>
    <w:rsid w:val="00F267DB"/>
    <w:rsid w:val="00F36489"/>
    <w:rsid w:val="00F46F6F"/>
    <w:rsid w:val="00F60608"/>
    <w:rsid w:val="00F62217"/>
    <w:rsid w:val="00FA22DE"/>
    <w:rsid w:val="00FB17A9"/>
    <w:rsid w:val="00FB527C"/>
    <w:rsid w:val="00FB6F75"/>
    <w:rsid w:val="00FC0EB3"/>
    <w:rsid w:val="00FC1ECF"/>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5BA9"/>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Heading1"/>
    <w:next w:val="BodyText"/>
    <w:link w:val="Heading2Char"/>
    <w:qFormat/>
    <w:rsid w:val="000E5BA9"/>
    <w:pPr>
      <w:numPr>
        <w:ilvl w:val="1"/>
      </w:numPr>
      <w:outlineLvl w:val="1"/>
    </w:pPr>
    <w:rPr>
      <w:caps w:val="0"/>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5BA9"/>
    <w:rPr>
      <w:rFonts w:cs="Calibri"/>
      <w:b/>
      <w:caps/>
      <w:color w:val="0070C0"/>
      <w:kern w:val="28"/>
      <w:sz w:val="22"/>
      <w:szCs w:val="22"/>
      <w:lang w:eastAsia="de-DE"/>
    </w:rPr>
  </w:style>
  <w:style w:type="character" w:customStyle="1" w:styleId="Heading2Char">
    <w:name w:val="Heading 2 Char"/>
    <w:link w:val="Heading2"/>
    <w:rsid w:val="000E5BA9"/>
    <w:rPr>
      <w:rFonts w:cs="Calibri"/>
      <w:b/>
      <w:color w:val="0070C0"/>
      <w:kern w:val="28"/>
      <w:sz w:val="22"/>
      <w:szCs w:val="22"/>
      <w:lang w:eastAsia="de-DE"/>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rmalWeb">
    <w:name w:val="Normal (Web)"/>
    <w:basedOn w:val="Normal"/>
    <w:uiPriority w:val="99"/>
    <w:semiHidden/>
    <w:unhideWhenUsed/>
    <w:rsid w:val="002F0B57"/>
    <w:pPr>
      <w:spacing w:before="100" w:beforeAutospacing="1" w:after="100" w:afterAutospacing="1"/>
    </w:pPr>
    <w:rPr>
      <w:rFonts w:ascii="Times New Roman" w:eastAsiaTheme="minorEastAsia" w:hAnsi="Times New Roman" w:cs="Times New Roman"/>
      <w:sz w:val="24"/>
      <w:szCs w:val="24"/>
      <w:lang w:eastAsia="zh-CN"/>
    </w:rPr>
  </w:style>
  <w:style w:type="table" w:customStyle="1" w:styleId="TableGrid1">
    <w:name w:val="Table Grid1"/>
    <w:basedOn w:val="TableNormal"/>
    <w:next w:val="TableGrid"/>
    <w:rsid w:val="00725902"/>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725902"/>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landscape">
    <w:name w:val="Footer landscape"/>
    <w:basedOn w:val="Normal"/>
    <w:rsid w:val="00725902"/>
    <w:pPr>
      <w:pBdr>
        <w:top w:val="single" w:sz="4" w:space="1" w:color="auto"/>
      </w:pBdr>
      <w:tabs>
        <w:tab w:val="right" w:pos="15309"/>
      </w:tabs>
      <w:adjustRightInd w:val="0"/>
      <w:spacing w:line="216" w:lineRule="atLeast"/>
    </w:pPr>
    <w:rPr>
      <w:rFonts w:ascii="Calibri" w:hAnsi="Calibri" w:cs="Times New Roman"/>
      <w:b/>
      <w:color w:val="00558C"/>
      <w:sz w:val="15"/>
      <w:lang w:eastAsia="en-US"/>
    </w:rPr>
  </w:style>
  <w:style w:type="paragraph" w:customStyle="1" w:styleId="Footerportrait">
    <w:name w:val="Footer portrait"/>
    <w:basedOn w:val="Normal"/>
    <w:rsid w:val="00725902"/>
    <w:pPr>
      <w:pBdr>
        <w:top w:val="single" w:sz="4" w:space="1" w:color="auto"/>
      </w:pBdr>
      <w:tabs>
        <w:tab w:val="right" w:pos="10206"/>
      </w:tabs>
      <w:spacing w:line="216" w:lineRule="atLeast"/>
    </w:pPr>
    <w:rPr>
      <w:rFonts w:ascii="Calibri" w:hAnsi="Calibri" w:cs="Times New Roman"/>
      <w:b/>
      <w:noProof/>
      <w:color w:val="00558C"/>
      <w:sz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2BA73-5A6C-447C-B46A-5A2C391E1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Kevin Gregory</cp:lastModifiedBy>
  <cp:revision>2</cp:revision>
  <dcterms:created xsi:type="dcterms:W3CDTF">2019-08-27T08:12:00Z</dcterms:created>
  <dcterms:modified xsi:type="dcterms:W3CDTF">2019-08-27T08:12:00Z</dcterms:modified>
</cp:coreProperties>
</file>